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CC55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jc w:val="left"/>
        <w:textAlignment w:val="auto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附件：</w:t>
      </w:r>
    </w:p>
    <w:p w14:paraId="3AB3E73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textAlignment w:val="auto"/>
        <w:rPr>
          <w:rFonts w:hint="eastAsia"/>
          <w:lang w:val="en-US" w:eastAsia="zh-CN"/>
        </w:rPr>
      </w:pPr>
    </w:p>
    <w:p w14:paraId="79A09ED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kern w:val="2"/>
          <w:sz w:val="44"/>
          <w:szCs w:val="44"/>
          <w:lang w:val="en-US" w:eastAsia="zh-CN" w:bidi="ar-SA"/>
        </w:rPr>
        <w:t>关于聘请专业机构开展“华牧优”山羊屠宰</w:t>
      </w:r>
    </w:p>
    <w:p w14:paraId="185224C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kern w:val="2"/>
          <w:sz w:val="44"/>
          <w:szCs w:val="44"/>
          <w:lang w:val="en-US" w:eastAsia="zh-CN" w:bidi="ar-SA"/>
        </w:rPr>
        <w:t>加工一体化项目可行性研究咨询服务</w:t>
      </w:r>
    </w:p>
    <w:p w14:paraId="1960858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kern w:val="2"/>
          <w:sz w:val="44"/>
          <w:szCs w:val="44"/>
          <w:lang w:val="en-US" w:eastAsia="zh-CN" w:bidi="ar-SA"/>
        </w:rPr>
        <w:t>公开招标的评分细则</w:t>
      </w:r>
    </w:p>
    <w:tbl>
      <w:tblPr>
        <w:tblStyle w:val="8"/>
        <w:tblW w:w="1046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134"/>
        <w:gridCol w:w="1106"/>
        <w:gridCol w:w="5717"/>
        <w:gridCol w:w="1795"/>
      </w:tblGrid>
      <w:tr w14:paraId="5A283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709" w:type="dxa"/>
            <w:vAlign w:val="center"/>
          </w:tcPr>
          <w:p w14:paraId="06E2CD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1"/>
                <w:szCs w:val="21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1"/>
                <w:szCs w:val="21"/>
              </w:rPr>
              <w:t>序号</w:t>
            </w:r>
          </w:p>
        </w:tc>
        <w:tc>
          <w:tcPr>
            <w:tcW w:w="1134" w:type="dxa"/>
            <w:vAlign w:val="center"/>
          </w:tcPr>
          <w:p w14:paraId="4841F8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1"/>
                <w:szCs w:val="21"/>
              </w:rPr>
              <w:t>评分</w:t>
            </w:r>
            <w:r>
              <w:rPr>
                <w:rFonts w:hint="eastAsia" w:ascii="方正黑体_GBK" w:hAnsi="方正黑体_GBK" w:eastAsia="方正黑体_GBK" w:cs="方正黑体_GBK"/>
                <w:kern w:val="0"/>
                <w:sz w:val="21"/>
                <w:szCs w:val="21"/>
                <w:lang w:val="en-US" w:eastAsia="zh-CN"/>
              </w:rPr>
              <w:t>项目</w:t>
            </w:r>
          </w:p>
        </w:tc>
        <w:tc>
          <w:tcPr>
            <w:tcW w:w="1106" w:type="dxa"/>
            <w:vAlign w:val="center"/>
          </w:tcPr>
          <w:p w14:paraId="52B05A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1"/>
                <w:szCs w:val="21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1"/>
                <w:szCs w:val="21"/>
              </w:rPr>
              <w:t>分值</w:t>
            </w:r>
          </w:p>
        </w:tc>
        <w:tc>
          <w:tcPr>
            <w:tcW w:w="5717" w:type="dxa"/>
            <w:vAlign w:val="center"/>
          </w:tcPr>
          <w:p w14:paraId="24FEE3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1"/>
                <w:szCs w:val="21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1"/>
                <w:szCs w:val="21"/>
              </w:rPr>
              <w:t>评分标准</w:t>
            </w:r>
          </w:p>
        </w:tc>
        <w:tc>
          <w:tcPr>
            <w:tcW w:w="1795" w:type="dxa"/>
            <w:vAlign w:val="center"/>
          </w:tcPr>
          <w:p w14:paraId="6256CB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1"/>
                <w:szCs w:val="21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1"/>
                <w:szCs w:val="21"/>
              </w:rPr>
              <w:t>说明</w:t>
            </w:r>
          </w:p>
        </w:tc>
      </w:tr>
      <w:tr w14:paraId="2515C7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  <w:jc w:val="center"/>
        </w:trPr>
        <w:tc>
          <w:tcPr>
            <w:tcW w:w="709" w:type="dxa"/>
            <w:tcBorders>
              <w:bottom w:val="single" w:color="auto" w:sz="4" w:space="0"/>
            </w:tcBorders>
            <w:vAlign w:val="center"/>
          </w:tcPr>
          <w:p w14:paraId="62ECEA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vAlign w:val="center"/>
          </w:tcPr>
          <w:p w14:paraId="1CD64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  <w:t>经济标</w:t>
            </w:r>
          </w:p>
          <w:p w14:paraId="25E919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  <w:t>（</w:t>
            </w:r>
            <w:r>
              <w:rPr>
                <w:rFonts w:hint="eastAsia" w:ascii="Times New Roman" w:hAnsi="Times New Roman" w:eastAsia="方正仿宋_GBK" w:cs="Times New Roman"/>
                <w:b/>
                <w:bCs/>
                <w:sz w:val="21"/>
                <w:szCs w:val="21"/>
                <w:lang w:val="en-US" w:eastAsia="zh-CN"/>
              </w:rPr>
              <w:t>70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  <w:t>分）</w:t>
            </w:r>
          </w:p>
        </w:tc>
        <w:tc>
          <w:tcPr>
            <w:tcW w:w="1106" w:type="dxa"/>
            <w:tcBorders>
              <w:bottom w:val="single" w:color="auto" w:sz="4" w:space="0"/>
            </w:tcBorders>
            <w:vAlign w:val="center"/>
          </w:tcPr>
          <w:p w14:paraId="3E509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bCs/>
                <w:sz w:val="21"/>
                <w:szCs w:val="21"/>
                <w:lang w:val="en-US" w:eastAsia="zh-CN"/>
              </w:rPr>
              <w:t>70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  <w:t>分</w:t>
            </w:r>
          </w:p>
        </w:tc>
        <w:tc>
          <w:tcPr>
            <w:tcW w:w="5717" w:type="dxa"/>
            <w:tcBorders>
              <w:bottom w:val="single" w:color="auto" w:sz="4" w:space="0"/>
            </w:tcBorders>
            <w:vAlign w:val="center"/>
          </w:tcPr>
          <w:p w14:paraId="7463B8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有效的投标报价中的最低价为评标基准价，按下列公式计算</w:t>
            </w: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投标人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的价格得分。</w:t>
            </w:r>
          </w:p>
          <w:p w14:paraId="62BA7F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得分</w:t>
            </w:r>
            <w:r>
              <w:rPr>
                <w:rFonts w:hint="eastAsia" w:eastAsia="方正仿宋_GBK" w:cs="Times New Roman"/>
                <w:sz w:val="21"/>
                <w:szCs w:val="21"/>
                <w:lang w:val="en-US" w:eastAsia="zh-CN"/>
              </w:rPr>
              <w:t>=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（评标基准价/投标报价）×价格权重×100。</w:t>
            </w:r>
          </w:p>
        </w:tc>
        <w:tc>
          <w:tcPr>
            <w:tcW w:w="1795" w:type="dxa"/>
            <w:tcBorders>
              <w:bottom w:val="single" w:color="auto" w:sz="4" w:space="0"/>
            </w:tcBorders>
            <w:vAlign w:val="center"/>
          </w:tcPr>
          <w:p w14:paraId="3B8EE5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</w:p>
        </w:tc>
      </w:tr>
      <w:tr w14:paraId="3533AE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6" w:hRule="atLeast"/>
          <w:jc w:val="center"/>
        </w:trPr>
        <w:tc>
          <w:tcPr>
            <w:tcW w:w="709" w:type="dxa"/>
            <w:vMerge w:val="restart"/>
            <w:tcBorders>
              <w:top w:val="single" w:color="auto" w:sz="4" w:space="0"/>
            </w:tcBorders>
            <w:vAlign w:val="center"/>
          </w:tcPr>
          <w:p w14:paraId="1E37EE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2</w:t>
            </w:r>
          </w:p>
        </w:tc>
        <w:tc>
          <w:tcPr>
            <w:tcW w:w="1134" w:type="dxa"/>
            <w:vMerge w:val="restart"/>
            <w:tcBorders>
              <w:top w:val="single" w:color="auto" w:sz="4" w:space="0"/>
            </w:tcBorders>
            <w:vAlign w:val="center"/>
          </w:tcPr>
          <w:p w14:paraId="31163B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  <w:t>技术标</w:t>
            </w:r>
          </w:p>
          <w:p w14:paraId="2DE49F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  <w:t>（</w:t>
            </w:r>
            <w:r>
              <w:rPr>
                <w:rFonts w:hint="eastAsia" w:ascii="Times New Roman" w:hAnsi="Times New Roman" w:eastAsia="方正仿宋_GBK" w:cs="Times New Roman"/>
                <w:b/>
                <w:bCs/>
                <w:sz w:val="21"/>
                <w:szCs w:val="21"/>
                <w:lang w:val="en-US" w:eastAsia="zh-CN"/>
              </w:rPr>
              <w:t>20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  <w:t>分）</w:t>
            </w:r>
          </w:p>
        </w:tc>
        <w:tc>
          <w:tcPr>
            <w:tcW w:w="1106" w:type="dxa"/>
            <w:tcBorders>
              <w:top w:val="single" w:color="auto" w:sz="4" w:space="0"/>
            </w:tcBorders>
            <w:vAlign w:val="center"/>
          </w:tcPr>
          <w:p w14:paraId="46541C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  <w:t>实施计划（</w:t>
            </w:r>
            <w:r>
              <w:rPr>
                <w:rFonts w:hint="eastAsia" w:ascii="Times New Roman" w:hAnsi="Times New Roman" w:eastAsia="方正仿宋_GBK" w:cs="Times New Roman"/>
                <w:b/>
                <w:bCs/>
                <w:sz w:val="21"/>
                <w:szCs w:val="21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  <w:t>分）</w:t>
            </w:r>
          </w:p>
        </w:tc>
        <w:tc>
          <w:tcPr>
            <w:tcW w:w="5717" w:type="dxa"/>
            <w:tcBorders>
              <w:top w:val="single" w:color="auto" w:sz="4" w:space="0"/>
            </w:tcBorders>
            <w:vAlign w:val="center"/>
          </w:tcPr>
          <w:p w14:paraId="65EDE9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投标人围绕2026年12月15日前交付前期可行性研究报告、项目立项后1个月内交付正式可研报告的计划，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针对</w:t>
            </w: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性地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提出实施进度计划和安排</w:t>
            </w: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对实施计划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的合理性</w:t>
            </w: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服务周期</w:t>
            </w: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eastAsia="zh-CN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人员的技术性等方面进行评审。</w:t>
            </w:r>
          </w:p>
          <w:p w14:paraId="651FDB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优得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分；良得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8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分；中得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6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分；差得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4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分；未提供得0分。</w:t>
            </w:r>
          </w:p>
        </w:tc>
        <w:tc>
          <w:tcPr>
            <w:tcW w:w="1795" w:type="dxa"/>
            <w:vMerge w:val="restart"/>
            <w:tcBorders>
              <w:top w:val="single" w:color="auto" w:sz="4" w:space="0"/>
            </w:tcBorders>
            <w:vAlign w:val="center"/>
          </w:tcPr>
          <w:p w14:paraId="1AADBC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</w:p>
        </w:tc>
      </w:tr>
      <w:tr w14:paraId="4B2E64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6" w:hRule="atLeast"/>
          <w:jc w:val="center"/>
        </w:trPr>
        <w:tc>
          <w:tcPr>
            <w:tcW w:w="709" w:type="dxa"/>
            <w:vMerge w:val="continue"/>
            <w:vAlign w:val="center"/>
          </w:tcPr>
          <w:p w14:paraId="5588F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</w:p>
        </w:tc>
        <w:tc>
          <w:tcPr>
            <w:tcW w:w="1134" w:type="dxa"/>
            <w:vMerge w:val="continue"/>
            <w:vAlign w:val="center"/>
          </w:tcPr>
          <w:p w14:paraId="4CA64E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106" w:type="dxa"/>
            <w:vAlign w:val="center"/>
          </w:tcPr>
          <w:p w14:paraId="3A80EB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  <w:t>后期跟踪（</w:t>
            </w:r>
            <w:r>
              <w:rPr>
                <w:rFonts w:hint="eastAsia" w:ascii="Times New Roman" w:hAnsi="Times New Roman" w:eastAsia="方正仿宋_GBK" w:cs="Times New Roman"/>
                <w:b/>
                <w:bCs/>
                <w:sz w:val="21"/>
                <w:szCs w:val="21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  <w:t>分）</w:t>
            </w:r>
          </w:p>
        </w:tc>
        <w:tc>
          <w:tcPr>
            <w:tcW w:w="5717" w:type="dxa"/>
            <w:tcBorders>
              <w:top w:val="single" w:color="auto" w:sz="4" w:space="0"/>
            </w:tcBorders>
            <w:vAlign w:val="center"/>
          </w:tcPr>
          <w:p w14:paraId="5D8C4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投标人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提供后续跟踪服务承诺，对后期服务方案的合理性、</w:t>
            </w: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可行性、服务周期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等方面进行评审。</w:t>
            </w:r>
          </w:p>
          <w:p w14:paraId="6BE64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优得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分；良得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8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分；中得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6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分；差得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分；未提供得0分。</w:t>
            </w:r>
          </w:p>
        </w:tc>
        <w:tc>
          <w:tcPr>
            <w:tcW w:w="1795" w:type="dxa"/>
            <w:vMerge w:val="continue"/>
            <w:vAlign w:val="center"/>
          </w:tcPr>
          <w:p w14:paraId="01D8F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</w:p>
        </w:tc>
      </w:tr>
      <w:tr w14:paraId="0B9CF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6" w:hRule="atLeast"/>
          <w:jc w:val="center"/>
        </w:trPr>
        <w:tc>
          <w:tcPr>
            <w:tcW w:w="709" w:type="dxa"/>
            <w:vMerge w:val="restart"/>
            <w:vAlign w:val="center"/>
          </w:tcPr>
          <w:p w14:paraId="6229D6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3</w:t>
            </w:r>
          </w:p>
        </w:tc>
        <w:tc>
          <w:tcPr>
            <w:tcW w:w="1134" w:type="dxa"/>
            <w:vMerge w:val="restart"/>
            <w:vAlign w:val="center"/>
          </w:tcPr>
          <w:p w14:paraId="1144A4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  <w:t>商务标</w:t>
            </w:r>
          </w:p>
          <w:p w14:paraId="080D9D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  <w:t>（</w:t>
            </w:r>
            <w:r>
              <w:rPr>
                <w:rFonts w:hint="eastAsia" w:ascii="Times New Roman" w:hAnsi="Times New Roman" w:eastAsia="方正仿宋_GBK" w:cs="Times New Roman"/>
                <w:b/>
                <w:bCs/>
                <w:sz w:val="21"/>
                <w:szCs w:val="21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  <w:t>分）</w:t>
            </w:r>
          </w:p>
        </w:tc>
        <w:tc>
          <w:tcPr>
            <w:tcW w:w="1106" w:type="dxa"/>
            <w:vAlign w:val="center"/>
          </w:tcPr>
          <w:p w14:paraId="1949B1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  <w:t>综合实力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  <w:lang w:val="en-US" w:eastAsia="zh-CN"/>
              </w:rPr>
              <w:t>（</w:t>
            </w:r>
            <w:r>
              <w:rPr>
                <w:rFonts w:hint="eastAsia" w:ascii="Times New Roman" w:hAnsi="Times New Roman" w:eastAsia="方正仿宋_GBK" w:cs="Times New Roman"/>
                <w:b/>
                <w:bCs/>
                <w:sz w:val="21"/>
                <w:szCs w:val="21"/>
                <w:lang w:val="en-US" w:eastAsia="zh-CN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  <w:t>分）</w:t>
            </w:r>
          </w:p>
        </w:tc>
        <w:tc>
          <w:tcPr>
            <w:tcW w:w="5717" w:type="dxa"/>
            <w:vAlign w:val="center"/>
          </w:tcPr>
          <w:p w14:paraId="4AF6D2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团队成员具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eastAsia="zh-CN"/>
              </w:rPr>
              <w:t>有</w:t>
            </w: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相关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eastAsia="zh-CN"/>
              </w:rPr>
              <w:t>专业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博士学位或正高职称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eastAsia="zh-CN"/>
              </w:rPr>
              <w:t>的得</w:t>
            </w: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3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分</w:t>
            </w: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，具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硕士学位或副高职称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eastAsia="zh-CN"/>
              </w:rPr>
              <w:t>的得</w:t>
            </w: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分</w:t>
            </w: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具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eastAsia="zh-CN"/>
              </w:rPr>
              <w:t>有</w:t>
            </w: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相关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eastAsia="zh-CN"/>
              </w:rPr>
              <w:t>专业</w:t>
            </w: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学士学位或中级职称的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每名得</w:t>
            </w: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分，最高不超过</w:t>
            </w: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分。</w:t>
            </w:r>
          </w:p>
        </w:tc>
        <w:tc>
          <w:tcPr>
            <w:tcW w:w="1795" w:type="dxa"/>
            <w:vAlign w:val="center"/>
          </w:tcPr>
          <w:p w14:paraId="2D1735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需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提供</w:t>
            </w: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相关证明资料</w:t>
            </w:r>
          </w:p>
        </w:tc>
      </w:tr>
      <w:tr w14:paraId="28893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8" w:hRule="atLeast"/>
          <w:jc w:val="center"/>
        </w:trPr>
        <w:tc>
          <w:tcPr>
            <w:tcW w:w="709" w:type="dxa"/>
            <w:vMerge w:val="continue"/>
            <w:vAlign w:val="center"/>
          </w:tcPr>
          <w:p w14:paraId="439829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</w:p>
        </w:tc>
        <w:tc>
          <w:tcPr>
            <w:tcW w:w="1134" w:type="dxa"/>
            <w:vMerge w:val="continue"/>
            <w:vAlign w:val="center"/>
          </w:tcPr>
          <w:p w14:paraId="026446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106" w:type="dxa"/>
            <w:vAlign w:val="center"/>
          </w:tcPr>
          <w:p w14:paraId="34799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  <w:lang w:val="en-US" w:eastAsia="zh-CN"/>
              </w:rPr>
              <w:t>相关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  <w:t>业绩（</w:t>
            </w:r>
            <w:r>
              <w:rPr>
                <w:rFonts w:hint="eastAsia" w:ascii="Times New Roman" w:hAnsi="Times New Roman" w:eastAsia="方正仿宋_GBK" w:cs="Times New Roman"/>
                <w:b/>
                <w:bCs/>
                <w:sz w:val="21"/>
                <w:szCs w:val="21"/>
                <w:lang w:val="en-US" w:eastAsia="zh-CN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  <w:t>分）</w:t>
            </w:r>
          </w:p>
        </w:tc>
        <w:tc>
          <w:tcPr>
            <w:tcW w:w="5717" w:type="dxa"/>
            <w:vAlign w:val="center"/>
          </w:tcPr>
          <w:p w14:paraId="7DBF64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自20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3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年1月至今，</w:t>
            </w: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投标人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完成</w:t>
            </w: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同类项目的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，每提供1个得</w:t>
            </w: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分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eastAsia="zh-CN"/>
              </w:rPr>
              <w:t>；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最高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eastAsia="zh-CN"/>
              </w:rPr>
              <w:t>不超过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分。</w:t>
            </w:r>
          </w:p>
        </w:tc>
        <w:tc>
          <w:tcPr>
            <w:tcW w:w="1795" w:type="dxa"/>
            <w:vAlign w:val="center"/>
          </w:tcPr>
          <w:p w14:paraId="2140C9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需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  <w:t>提供</w:t>
            </w: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相关证明资料</w:t>
            </w:r>
          </w:p>
        </w:tc>
      </w:tr>
    </w:tbl>
    <w:p w14:paraId="3DA660C1">
      <w:pPr>
        <w:pStyle w:val="2"/>
        <w:rPr>
          <w:rFonts w:hint="default"/>
          <w:lang w:val="en-US" w:eastAsia="zh-CN"/>
        </w:rPr>
      </w:pPr>
    </w:p>
    <w:sectPr>
      <w:pgSz w:w="11906" w:h="16838"/>
      <w:pgMar w:top="1984" w:right="1446" w:bottom="1644" w:left="1446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FA25F6"/>
    <w:rsid w:val="7C4F2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/>
    </w:rPr>
  </w:style>
  <w:style w:type="paragraph" w:styleId="5">
    <w:name w:val="heading 2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/>
    </w:rPr>
  </w:style>
  <w:style w:type="character" w:default="1" w:styleId="9">
    <w:name w:val="Default Paragraph Font"/>
    <w:qFormat/>
    <w:uiPriority w:val="0"/>
  </w:style>
  <w:style w:type="table" w:default="1" w:styleId="8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widowControl w:val="0"/>
      <w:spacing w:line="360" w:lineRule="auto"/>
    </w:pPr>
    <w:rPr>
      <w:rFonts w:ascii="宋体" w:hAnsi="宋体"/>
    </w:rPr>
  </w:style>
  <w:style w:type="paragraph" w:styleId="3">
    <w:name w:val="Body Text"/>
    <w:basedOn w:val="1"/>
    <w:next w:val="1"/>
    <w:qFormat/>
    <w:uiPriority w:val="0"/>
    <w:pPr>
      <w:spacing w:after="120" w:afterAutospacing="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character" w:styleId="10">
    <w:name w:val="Strong"/>
    <w:basedOn w:val="9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711</Words>
  <Characters>720</Characters>
  <Paragraphs>96</Paragraphs>
  <TotalTime>115</TotalTime>
  <ScaleCrop>false</ScaleCrop>
  <LinksUpToDate>false</LinksUpToDate>
  <CharactersWithSpaces>720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2026-11-05T01:32:00Z</dcterms:created>
  <dc:creator>发展部</dc:creator>
  <cp:lastModifiedBy>杨立</cp:lastModifiedBy>
  <dcterms:modified xsi:type="dcterms:W3CDTF">2026-11-05T01:54:08Z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eyJoZGlkIjoiZjdjMDg3NTdlNzBhNjFlMDRjNmM4MjNmOWUxZDQ0ZGEiLCJ1c2VySWQiOiIxNjg2NDM3MjIzIn0=</vt:lpwstr>
  </property>
  <property fmtid="{D5CDD505-2E9C-101B-9397-08002B2CF9AE}" pid="4" name="ICV">
    <vt:lpwstr>69EEF572F3FD4702BB7BDB023F920608_13</vt:lpwstr>
  </property>
</Properties>
</file>